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B03" w:rsidRPr="00AA4ECD" w:rsidRDefault="008002DB" w:rsidP="00AA4ECD">
      <w:pPr>
        <w:pStyle w:val="NormalWeb"/>
        <w:jc w:val="both"/>
        <w:rPr>
          <w:rFonts w:ascii="Arial" w:hAnsi="Arial" w:cs="Arial"/>
          <w:b/>
          <w:bCs/>
          <w:sz w:val="22"/>
          <w:szCs w:val="22"/>
        </w:rPr>
      </w:pPr>
      <w:r w:rsidRPr="00AA4ECD">
        <w:rPr>
          <w:rFonts w:ascii="Arial" w:hAnsi="Arial" w:cs="Arial"/>
          <w:b/>
          <w:sz w:val="22"/>
          <w:szCs w:val="22"/>
        </w:rPr>
        <w:t>D</w:t>
      </w:r>
      <w:r w:rsidRPr="00AA4ECD">
        <w:rPr>
          <w:rFonts w:ascii="Arial" w:hAnsi="Arial" w:cs="Arial"/>
          <w:b/>
          <w:bCs/>
          <w:sz w:val="22"/>
          <w:szCs w:val="22"/>
        </w:rPr>
        <w:t>o older surgical patients who undergo emergency operation have higher prevalence of 30 and 90 days mortality,</w:t>
      </w:r>
      <w:r w:rsidRPr="00AA4ECD">
        <w:rPr>
          <w:rFonts w:ascii="Arial" w:hAnsi="Arial" w:cs="Arial"/>
          <w:b/>
          <w:sz w:val="22"/>
          <w:szCs w:val="22"/>
        </w:rPr>
        <w:t xml:space="preserve"> </w:t>
      </w:r>
      <w:r w:rsidRPr="00AA4ECD">
        <w:rPr>
          <w:rFonts w:ascii="Arial" w:hAnsi="Arial" w:cs="Arial"/>
          <w:b/>
          <w:bCs/>
          <w:sz w:val="22"/>
          <w:szCs w:val="22"/>
        </w:rPr>
        <w:t>longer l</w:t>
      </w:r>
      <w:r w:rsidRPr="00AA4ECD">
        <w:rPr>
          <w:rFonts w:ascii="Arial" w:hAnsi="Arial" w:cs="Arial"/>
          <w:b/>
          <w:sz w:val="22"/>
          <w:szCs w:val="22"/>
        </w:rPr>
        <w:t xml:space="preserve">ength of </w:t>
      </w:r>
      <w:r w:rsidRPr="00AA4ECD">
        <w:rPr>
          <w:rFonts w:ascii="Arial" w:hAnsi="Arial" w:cs="Arial"/>
          <w:b/>
          <w:bCs/>
          <w:sz w:val="22"/>
          <w:szCs w:val="22"/>
        </w:rPr>
        <w:t>h</w:t>
      </w:r>
      <w:r w:rsidRPr="00AA4ECD">
        <w:rPr>
          <w:rFonts w:ascii="Arial" w:hAnsi="Arial" w:cs="Arial"/>
          <w:b/>
          <w:sz w:val="22"/>
          <w:szCs w:val="22"/>
        </w:rPr>
        <w:t xml:space="preserve">ospitalisation, or higher readmission incidence within 30 days of discharge </w:t>
      </w:r>
      <w:r w:rsidRPr="00AA4ECD">
        <w:rPr>
          <w:rFonts w:ascii="Arial" w:hAnsi="Arial" w:cs="Arial"/>
          <w:b/>
          <w:bCs/>
          <w:sz w:val="22"/>
          <w:szCs w:val="22"/>
        </w:rPr>
        <w:t xml:space="preserve">compared to those managed conservatively? </w:t>
      </w:r>
    </w:p>
    <w:p w:rsidR="00F70741" w:rsidRPr="00DA05A9" w:rsidRDefault="001D6190" w:rsidP="00AA4ECD">
      <w:pPr>
        <w:spacing w:line="240" w:lineRule="auto"/>
        <w:jc w:val="both"/>
        <w:rPr>
          <w:rFonts w:ascii="Arial" w:hAnsi="Arial" w:cs="Arial"/>
        </w:rPr>
      </w:pPr>
      <w:r w:rsidRPr="00DA05A9">
        <w:rPr>
          <w:rFonts w:ascii="Arial" w:hAnsi="Arial" w:cs="Arial"/>
        </w:rPr>
        <w:t>HS TAY 1, A</w:t>
      </w:r>
      <w:r w:rsidR="00EF7B03" w:rsidRPr="00DA05A9">
        <w:rPr>
          <w:rFonts w:ascii="Arial" w:hAnsi="Arial" w:cs="Arial"/>
        </w:rPr>
        <w:t>D</w:t>
      </w:r>
      <w:r w:rsidRPr="00DA05A9">
        <w:rPr>
          <w:rFonts w:ascii="Arial" w:hAnsi="Arial" w:cs="Arial"/>
        </w:rPr>
        <w:t xml:space="preserve"> WOOD 2, J HEWITT 3, L PEARCE 4, SJ MOUG 5, K </w:t>
      </w:r>
      <w:proofErr w:type="spellStart"/>
      <w:r w:rsidRPr="00DA05A9">
        <w:rPr>
          <w:rFonts w:ascii="Arial" w:hAnsi="Arial" w:cs="Arial"/>
        </w:rPr>
        <w:t>McCARTHY</w:t>
      </w:r>
      <w:proofErr w:type="spellEnd"/>
      <w:r w:rsidRPr="00DA05A9">
        <w:rPr>
          <w:rFonts w:ascii="Arial" w:hAnsi="Arial" w:cs="Arial"/>
        </w:rPr>
        <w:t xml:space="preserve"> 6, MJ STECHMAN 7,  PK MYINT 1,2</w:t>
      </w:r>
    </w:p>
    <w:p w:rsidR="00F70741" w:rsidRPr="00DA05A9" w:rsidRDefault="00EF7B03" w:rsidP="00AA4ECD">
      <w:pPr>
        <w:pStyle w:val="Body1"/>
        <w:numPr>
          <w:ilvl w:val="0"/>
          <w:numId w:val="1"/>
        </w:numPr>
        <w:spacing w:line="240" w:lineRule="auto"/>
        <w:jc w:val="both"/>
        <w:rPr>
          <w:rFonts w:ascii="Arial" w:hAnsi="Arial" w:cs="Arial"/>
          <w:color w:val="auto"/>
          <w:szCs w:val="22"/>
        </w:rPr>
      </w:pPr>
      <w:r w:rsidRPr="00DA05A9">
        <w:rPr>
          <w:rFonts w:ascii="Arial" w:hAnsi="Arial" w:cs="Arial"/>
          <w:color w:val="auto"/>
          <w:szCs w:val="22"/>
        </w:rPr>
        <w:t>Aberdeen Royal Infirmary</w:t>
      </w:r>
      <w:r w:rsidR="001D6190" w:rsidRPr="00DA05A9">
        <w:rPr>
          <w:rFonts w:ascii="Arial" w:hAnsi="Arial" w:cs="Arial"/>
          <w:color w:val="auto"/>
          <w:szCs w:val="22"/>
        </w:rPr>
        <w:t>, Aberdeen</w:t>
      </w:r>
    </w:p>
    <w:p w:rsidR="00F70741" w:rsidRPr="00DA05A9" w:rsidRDefault="001D6190" w:rsidP="00AA4ECD">
      <w:pPr>
        <w:pStyle w:val="Body1"/>
        <w:numPr>
          <w:ilvl w:val="0"/>
          <w:numId w:val="1"/>
        </w:numPr>
        <w:spacing w:line="240" w:lineRule="auto"/>
        <w:jc w:val="both"/>
        <w:rPr>
          <w:rFonts w:ascii="Arial" w:hAnsi="Arial" w:cs="Arial"/>
          <w:color w:val="auto"/>
          <w:szCs w:val="22"/>
        </w:rPr>
      </w:pPr>
      <w:r w:rsidRPr="00DA05A9">
        <w:rPr>
          <w:rFonts w:ascii="Arial" w:hAnsi="Arial" w:cs="Arial"/>
          <w:color w:val="auto"/>
          <w:szCs w:val="22"/>
        </w:rPr>
        <w:t>University of Aberdeen, Aberdeen</w:t>
      </w:r>
    </w:p>
    <w:p w:rsidR="00F70741" w:rsidRPr="00DA05A9" w:rsidRDefault="001D6190" w:rsidP="00AA4ECD">
      <w:pPr>
        <w:pStyle w:val="Body1"/>
        <w:numPr>
          <w:ilvl w:val="0"/>
          <w:numId w:val="1"/>
        </w:numPr>
        <w:spacing w:line="240" w:lineRule="auto"/>
        <w:jc w:val="both"/>
        <w:rPr>
          <w:rFonts w:ascii="Arial" w:hAnsi="Arial" w:cs="Arial"/>
          <w:color w:val="auto"/>
          <w:szCs w:val="22"/>
        </w:rPr>
      </w:pPr>
      <w:r w:rsidRPr="00DA05A9">
        <w:rPr>
          <w:rFonts w:ascii="Arial" w:hAnsi="Arial" w:cs="Arial"/>
          <w:color w:val="auto"/>
          <w:szCs w:val="22"/>
        </w:rPr>
        <w:t>Cardiff University, Cardiff</w:t>
      </w:r>
    </w:p>
    <w:p w:rsidR="00F70741" w:rsidRPr="00DA05A9" w:rsidRDefault="001D6190" w:rsidP="00AA4ECD">
      <w:pPr>
        <w:pStyle w:val="Body1"/>
        <w:numPr>
          <w:ilvl w:val="0"/>
          <w:numId w:val="1"/>
        </w:numPr>
        <w:spacing w:line="240" w:lineRule="auto"/>
        <w:jc w:val="both"/>
        <w:rPr>
          <w:rFonts w:ascii="Arial" w:hAnsi="Arial" w:cs="Arial"/>
          <w:color w:val="auto"/>
          <w:szCs w:val="22"/>
        </w:rPr>
      </w:pPr>
      <w:r w:rsidRPr="00DA05A9">
        <w:rPr>
          <w:rFonts w:ascii="Arial" w:hAnsi="Arial" w:cs="Arial"/>
          <w:color w:val="auto"/>
          <w:szCs w:val="22"/>
        </w:rPr>
        <w:t>Manchester Royal Infirmary, Manchester</w:t>
      </w:r>
    </w:p>
    <w:p w:rsidR="00F70741" w:rsidRPr="00DA05A9" w:rsidRDefault="001D6190" w:rsidP="00AA4ECD">
      <w:pPr>
        <w:pStyle w:val="Body1"/>
        <w:numPr>
          <w:ilvl w:val="0"/>
          <w:numId w:val="1"/>
        </w:numPr>
        <w:spacing w:line="240" w:lineRule="auto"/>
        <w:jc w:val="both"/>
        <w:rPr>
          <w:rFonts w:ascii="Arial" w:hAnsi="Arial" w:cs="Arial"/>
          <w:color w:val="auto"/>
          <w:szCs w:val="22"/>
        </w:rPr>
      </w:pPr>
      <w:r w:rsidRPr="00DA05A9">
        <w:rPr>
          <w:rFonts w:ascii="Arial" w:hAnsi="Arial" w:cs="Arial"/>
          <w:color w:val="auto"/>
          <w:szCs w:val="22"/>
        </w:rPr>
        <w:t>Royal Alexandra Hospital, Paisley</w:t>
      </w:r>
    </w:p>
    <w:p w:rsidR="00F70741" w:rsidRPr="00DA05A9" w:rsidRDefault="001D6190" w:rsidP="00AA4ECD">
      <w:pPr>
        <w:pStyle w:val="Body1"/>
        <w:numPr>
          <w:ilvl w:val="0"/>
          <w:numId w:val="1"/>
        </w:numPr>
        <w:spacing w:line="240" w:lineRule="auto"/>
        <w:jc w:val="both"/>
        <w:rPr>
          <w:rFonts w:ascii="Arial" w:hAnsi="Arial" w:cs="Arial"/>
          <w:color w:val="auto"/>
          <w:szCs w:val="22"/>
        </w:rPr>
      </w:pPr>
      <w:r w:rsidRPr="00DA05A9">
        <w:rPr>
          <w:rFonts w:ascii="Arial" w:hAnsi="Arial" w:cs="Arial"/>
          <w:color w:val="auto"/>
          <w:szCs w:val="22"/>
        </w:rPr>
        <w:t>North Bristol NHS Trust, Bristol</w:t>
      </w:r>
    </w:p>
    <w:p w:rsidR="00F70741" w:rsidRPr="00DA05A9" w:rsidRDefault="001D6190" w:rsidP="00AA4ECD">
      <w:pPr>
        <w:pStyle w:val="Body1"/>
        <w:numPr>
          <w:ilvl w:val="0"/>
          <w:numId w:val="1"/>
        </w:numPr>
        <w:spacing w:line="240" w:lineRule="auto"/>
        <w:jc w:val="both"/>
        <w:rPr>
          <w:rFonts w:ascii="Arial" w:hAnsi="Arial" w:cs="Arial"/>
          <w:color w:val="auto"/>
          <w:szCs w:val="22"/>
        </w:rPr>
      </w:pPr>
      <w:r w:rsidRPr="00DA05A9">
        <w:rPr>
          <w:rFonts w:ascii="Arial" w:hAnsi="Arial" w:cs="Arial"/>
          <w:color w:val="auto"/>
          <w:szCs w:val="22"/>
        </w:rPr>
        <w:t>University Hospital of Wales, Cardiff</w:t>
      </w:r>
    </w:p>
    <w:p w:rsidR="00BA5010" w:rsidRPr="00DA05A9" w:rsidRDefault="001D6190" w:rsidP="00AA4ECD">
      <w:pPr>
        <w:pStyle w:val="Heading4"/>
        <w:jc w:val="both"/>
        <w:rPr>
          <w:rFonts w:ascii="Arial" w:hAnsi="Arial" w:cs="Arial"/>
          <w:sz w:val="22"/>
          <w:szCs w:val="22"/>
          <w:lang w:eastAsia="en-GB"/>
        </w:rPr>
      </w:pPr>
      <w:r w:rsidRPr="00DA05A9">
        <w:rPr>
          <w:rFonts w:ascii="Arial" w:hAnsi="Arial" w:cs="Arial"/>
          <w:sz w:val="22"/>
          <w:szCs w:val="22"/>
        </w:rPr>
        <w:t xml:space="preserve">Introduction: </w:t>
      </w:r>
    </w:p>
    <w:p w:rsidR="008002DB" w:rsidRPr="00DA05A9" w:rsidRDefault="008002DB" w:rsidP="00AA4ECD">
      <w:pPr>
        <w:pStyle w:val="NormalWeb"/>
        <w:spacing w:before="0" w:beforeAutospacing="0" w:after="0" w:afterAutospacing="0"/>
        <w:jc w:val="both"/>
        <w:rPr>
          <w:rFonts w:ascii="Arial" w:hAnsi="Arial" w:cs="Arial"/>
          <w:sz w:val="22"/>
          <w:szCs w:val="22"/>
        </w:rPr>
      </w:pPr>
      <w:r w:rsidRPr="00DA05A9">
        <w:rPr>
          <w:rFonts w:ascii="Arial" w:hAnsi="Arial" w:cs="Arial"/>
          <w:sz w:val="22"/>
          <w:szCs w:val="22"/>
        </w:rPr>
        <w:t>It is unclear whether older surgical patients who undergo emergency operation have higher mortality, longer length of hospitalisation or higher hospital readmission compared to those managed conservatively. We aimed to assess the prevalence of operations during emergency surgical admission of older people (</w:t>
      </w:r>
      <w:r w:rsidRPr="00DA05A9">
        <w:rPr>
          <w:rFonts w:ascii="Arial" w:eastAsia="AdvOT8608a8d1+22" w:hAnsi="Arial" w:cs="Arial"/>
          <w:sz w:val="22"/>
          <w:szCs w:val="22"/>
        </w:rPr>
        <w:t xml:space="preserve">≥65 years) </w:t>
      </w:r>
      <w:r w:rsidRPr="00DA05A9">
        <w:rPr>
          <w:rFonts w:ascii="Arial" w:hAnsi="Arial" w:cs="Arial"/>
          <w:sz w:val="22"/>
          <w:szCs w:val="22"/>
        </w:rPr>
        <w:t xml:space="preserve">and its association with mortality at 30 and 90 days post-admission, length of hospitalisation, and incidence of readmission within 30 days of discharge. </w:t>
      </w:r>
    </w:p>
    <w:p w:rsidR="00EB16FB" w:rsidRPr="00DA05A9" w:rsidRDefault="00EB16FB" w:rsidP="00AA4ECD">
      <w:pPr>
        <w:pStyle w:val="NormalWeb"/>
        <w:spacing w:before="0" w:beforeAutospacing="0" w:after="0" w:afterAutospacing="0"/>
        <w:jc w:val="both"/>
        <w:rPr>
          <w:rFonts w:ascii="Arial" w:hAnsi="Arial" w:cs="Arial"/>
          <w:sz w:val="22"/>
          <w:szCs w:val="22"/>
        </w:rPr>
      </w:pPr>
      <w:bookmarkStart w:id="0" w:name="_GoBack"/>
      <w:bookmarkEnd w:id="0"/>
    </w:p>
    <w:p w:rsidR="00E74D47" w:rsidRPr="00DA05A9" w:rsidRDefault="001D6190" w:rsidP="00AA4ECD">
      <w:pPr>
        <w:pStyle w:val="Heading4"/>
        <w:spacing w:before="0" w:after="0"/>
        <w:jc w:val="both"/>
        <w:rPr>
          <w:rFonts w:ascii="Arial" w:hAnsi="Arial" w:cs="Arial"/>
          <w:sz w:val="22"/>
          <w:szCs w:val="22"/>
        </w:rPr>
      </w:pPr>
      <w:r w:rsidRPr="00DA05A9">
        <w:rPr>
          <w:rFonts w:ascii="Arial" w:hAnsi="Arial" w:cs="Arial"/>
          <w:sz w:val="22"/>
          <w:szCs w:val="22"/>
        </w:rPr>
        <w:t>Methods:</w:t>
      </w:r>
    </w:p>
    <w:p w:rsidR="008002DB" w:rsidRPr="00AA4ECD" w:rsidRDefault="008002DB" w:rsidP="00AA4ECD">
      <w:pPr>
        <w:spacing w:line="240" w:lineRule="auto"/>
        <w:jc w:val="both"/>
        <w:rPr>
          <w:rFonts w:ascii="Arial" w:hAnsi="Arial" w:cs="Arial"/>
          <w:b/>
        </w:rPr>
      </w:pPr>
      <w:r w:rsidRPr="00DA05A9">
        <w:rPr>
          <w:rFonts w:ascii="Arial" w:hAnsi="Arial" w:cs="Arial"/>
        </w:rPr>
        <w:t xml:space="preserve">We analysed data from the </w:t>
      </w:r>
      <w:r w:rsidRPr="00DA05A9">
        <w:rPr>
          <w:rFonts w:ascii="Arial" w:hAnsi="Arial" w:cs="Arial"/>
          <w:bCs/>
        </w:rPr>
        <w:t>Older Persons Surgical Outcomes Collaboration</w:t>
      </w:r>
      <w:r w:rsidRPr="00DA05A9">
        <w:rPr>
          <w:rFonts w:ascii="Arial" w:hAnsi="Arial" w:cs="Arial"/>
        </w:rPr>
        <w:t xml:space="preserve"> (www.OPSOC.eu) to calculate the prevalence of emergency operations in older acute surgical admissions. The effect of operation on study outcomes was examined using multivariate logistic regression adjusting for age, gender, polypharmacy, haemoglobin, albumin, and frailty (assessed using the validated 7-point Canadian Study of Health and Ageing clinical frailty score). </w:t>
      </w:r>
    </w:p>
    <w:p w:rsidR="00AA4ECD" w:rsidRDefault="00F574CF" w:rsidP="00AA4ECD">
      <w:pPr>
        <w:spacing w:line="240" w:lineRule="auto"/>
        <w:rPr>
          <w:rFonts w:ascii="Arial" w:hAnsi="Arial" w:cs="Arial"/>
          <w:b/>
        </w:rPr>
      </w:pPr>
      <w:r w:rsidRPr="00DA05A9">
        <w:rPr>
          <w:rFonts w:ascii="Arial" w:hAnsi="Arial" w:cs="Arial"/>
          <w:b/>
        </w:rPr>
        <w:t>Results:</w:t>
      </w:r>
    </w:p>
    <w:p w:rsidR="008002DB" w:rsidRPr="00AA4ECD" w:rsidRDefault="008002DB" w:rsidP="00AA4ECD">
      <w:pPr>
        <w:spacing w:line="240" w:lineRule="auto"/>
        <w:rPr>
          <w:rFonts w:ascii="Arial" w:hAnsi="Arial" w:cs="Arial"/>
          <w:b/>
        </w:rPr>
      </w:pPr>
      <w:r w:rsidRPr="00DA05A9">
        <w:rPr>
          <w:rFonts w:ascii="Arial" w:hAnsi="Arial" w:cs="Arial"/>
        </w:rPr>
        <w:t xml:space="preserve">Data were collected for 727 patients [mean age (standard deviation) =77.1 (8.2) years, 54% female]. Of them, 185 (25%) underwent emergency operation. Patients that received an operation were younger than those who did not [76(7.7) vs. 78(8.4) years; </w:t>
      </w:r>
      <w:r w:rsidRPr="00DA05A9">
        <w:rPr>
          <w:rFonts w:ascii="Arial" w:hAnsi="Arial" w:cs="Arial"/>
          <w:i/>
        </w:rPr>
        <w:t>P</w:t>
      </w:r>
      <w:r w:rsidRPr="00DA05A9">
        <w:rPr>
          <w:rFonts w:ascii="Arial" w:hAnsi="Arial" w:cs="Arial"/>
        </w:rPr>
        <w:t>&lt;0.001]. The prevalence of operation was greater in males (</w:t>
      </w:r>
      <w:r w:rsidRPr="00DA05A9">
        <w:rPr>
          <w:rFonts w:ascii="Arial" w:hAnsi="Arial" w:cs="Arial"/>
          <w:bCs/>
        </w:rPr>
        <w:t xml:space="preserve">30.2% males (receiving operation) vs. 23.5% males (receiving conservative management); </w:t>
      </w:r>
      <w:r w:rsidRPr="00DA05A9">
        <w:rPr>
          <w:rFonts w:ascii="Arial" w:hAnsi="Arial" w:cs="Arial"/>
          <w:bCs/>
          <w:i/>
          <w:iCs/>
        </w:rPr>
        <w:t>P</w:t>
      </w:r>
      <w:r w:rsidRPr="00DA05A9">
        <w:rPr>
          <w:rFonts w:ascii="Arial" w:hAnsi="Arial" w:cs="Arial"/>
          <w:bCs/>
        </w:rPr>
        <w:t>=0.006).</w:t>
      </w:r>
      <w:r w:rsidRPr="00DA05A9">
        <w:rPr>
          <w:rFonts w:ascii="Arial" w:hAnsi="Arial" w:cs="Arial"/>
        </w:rPr>
        <w:t xml:space="preserve"> Multivariate analyses showed no association between operation and mortality at 30 days [adjusted odds ratio (AOR) =0.40 (95% CI 0.13-1.25; </w:t>
      </w:r>
      <w:r w:rsidRPr="00DA05A9">
        <w:rPr>
          <w:rFonts w:ascii="Arial" w:hAnsi="Arial" w:cs="Arial"/>
          <w:i/>
        </w:rPr>
        <w:t>P</w:t>
      </w:r>
      <w:r w:rsidRPr="00DA05A9">
        <w:rPr>
          <w:rFonts w:ascii="Arial" w:hAnsi="Arial" w:cs="Arial"/>
        </w:rPr>
        <w:t xml:space="preserve">=0.116)] and </w:t>
      </w:r>
      <w:r w:rsidR="00AA4ECD">
        <w:rPr>
          <w:rFonts w:ascii="Arial" w:hAnsi="Arial" w:cs="Arial"/>
        </w:rPr>
        <w:t>mortality at 90 days (AOR) =0.64</w:t>
      </w:r>
      <w:r w:rsidRPr="00DA05A9">
        <w:rPr>
          <w:rFonts w:ascii="Arial" w:hAnsi="Arial" w:cs="Arial"/>
        </w:rPr>
        <w:t xml:space="preserve"> (95%CI 0.30-1.41; </w:t>
      </w:r>
      <w:r w:rsidRPr="00DA05A9">
        <w:rPr>
          <w:rFonts w:ascii="Arial" w:eastAsia="Calibri" w:hAnsi="Arial" w:cs="Arial"/>
          <w:i/>
        </w:rPr>
        <w:t>P</w:t>
      </w:r>
      <w:r w:rsidR="00AA4ECD">
        <w:rPr>
          <w:rFonts w:ascii="Arial" w:hAnsi="Arial" w:cs="Arial"/>
        </w:rPr>
        <w:t>=0.27</w:t>
      </w:r>
      <w:r w:rsidRPr="00DA05A9">
        <w:rPr>
          <w:rFonts w:ascii="Arial" w:hAnsi="Arial" w:cs="Arial"/>
        </w:rPr>
        <w:t xml:space="preserve">). Operation was associated with significantly increased odds for longer than median length of hospital stay [AOR =5.98 (95% CI 3.97-8.99; </w:t>
      </w:r>
      <w:r w:rsidRPr="00DA05A9">
        <w:rPr>
          <w:rFonts w:ascii="Arial" w:hAnsi="Arial" w:cs="Arial"/>
          <w:i/>
        </w:rPr>
        <w:t>P</w:t>
      </w:r>
      <w:r w:rsidRPr="00DA05A9">
        <w:rPr>
          <w:rFonts w:ascii="Arial" w:hAnsi="Arial" w:cs="Arial"/>
        </w:rPr>
        <w:t xml:space="preserve">&lt;0.001)]. We found no association between operation and hospital readmission within 30 days of discharge [AOR = 1.08 (95%CI 0.65-1.77; </w:t>
      </w:r>
      <w:r w:rsidRPr="00DA05A9">
        <w:rPr>
          <w:rFonts w:ascii="Arial" w:eastAsia="Calibri" w:hAnsi="Arial" w:cs="Arial"/>
          <w:i/>
        </w:rPr>
        <w:t>P</w:t>
      </w:r>
      <w:r w:rsidRPr="00DA05A9">
        <w:rPr>
          <w:rFonts w:ascii="Arial" w:hAnsi="Arial" w:cs="Arial"/>
        </w:rPr>
        <w:t>=0.77)].</w:t>
      </w:r>
    </w:p>
    <w:p w:rsidR="00BA5010" w:rsidRPr="00DA05A9" w:rsidRDefault="00BA5010" w:rsidP="00AA4ECD">
      <w:pPr>
        <w:pStyle w:val="Heading4"/>
        <w:spacing w:before="0" w:after="0"/>
        <w:jc w:val="both"/>
        <w:rPr>
          <w:rFonts w:ascii="Arial" w:hAnsi="Arial" w:cs="Arial"/>
          <w:sz w:val="22"/>
          <w:szCs w:val="22"/>
        </w:rPr>
      </w:pPr>
    </w:p>
    <w:p w:rsidR="00AA4ECD" w:rsidRPr="00AA4ECD" w:rsidRDefault="001D6190" w:rsidP="00AA4ECD">
      <w:pPr>
        <w:pStyle w:val="Heading4"/>
        <w:spacing w:before="0" w:after="0"/>
        <w:jc w:val="both"/>
        <w:rPr>
          <w:rFonts w:ascii="Arial" w:hAnsi="Arial" w:cs="Arial"/>
          <w:sz w:val="22"/>
          <w:szCs w:val="22"/>
        </w:rPr>
      </w:pPr>
      <w:r w:rsidRPr="00DA05A9">
        <w:rPr>
          <w:rFonts w:ascii="Arial" w:hAnsi="Arial" w:cs="Arial"/>
          <w:sz w:val="22"/>
          <w:szCs w:val="22"/>
        </w:rPr>
        <w:t xml:space="preserve">Conclusions: </w:t>
      </w:r>
    </w:p>
    <w:p w:rsidR="003B380C" w:rsidRPr="00DA05A9" w:rsidRDefault="00DA05A9" w:rsidP="00AA4ECD">
      <w:pPr>
        <w:spacing w:line="240" w:lineRule="auto"/>
        <w:jc w:val="both"/>
        <w:rPr>
          <w:rFonts w:ascii="Arial" w:hAnsi="Arial" w:cs="Arial"/>
        </w:rPr>
      </w:pPr>
      <w:r w:rsidRPr="00DA05A9">
        <w:rPr>
          <w:rFonts w:ascii="Arial" w:hAnsi="Arial" w:cs="Arial"/>
        </w:rPr>
        <w:t>A quarter patients from this cohort had an emergency operation during their acute surgical admission in the UK setting. Operation was associated with longer length of hospitalisation but no association with 30 and 90 days mortality and readmission was demonstrated. Whether there is potential to improve the length of hospitalisation outcome in this patient population through comprehensive geriatric assessment needs to be evaluated.</w:t>
      </w:r>
    </w:p>
    <w:sectPr w:rsidR="003B380C" w:rsidRPr="00DA05A9" w:rsidSect="001D6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dvOT8608a8d1+22">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EA2D18"/>
    <w:multiLevelType w:val="hybridMultilevel"/>
    <w:tmpl w:val="8872D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c2sDAztjA2NTG1MDJS0lEKTi0uzszPAykwrgUAWeyq5iwAAAA="/>
  </w:docVars>
  <w:rsids>
    <w:rsidRoot w:val="00A22AE7"/>
    <w:rsid w:val="000B1150"/>
    <w:rsid w:val="000C5F45"/>
    <w:rsid w:val="001D6190"/>
    <w:rsid w:val="00247026"/>
    <w:rsid w:val="002758B2"/>
    <w:rsid w:val="00346E9E"/>
    <w:rsid w:val="003B380C"/>
    <w:rsid w:val="003E72A6"/>
    <w:rsid w:val="004B7FF9"/>
    <w:rsid w:val="004F62EC"/>
    <w:rsid w:val="00533970"/>
    <w:rsid w:val="00563B44"/>
    <w:rsid w:val="005C5E97"/>
    <w:rsid w:val="005F5462"/>
    <w:rsid w:val="006038F1"/>
    <w:rsid w:val="00646559"/>
    <w:rsid w:val="006C18E1"/>
    <w:rsid w:val="00716B8E"/>
    <w:rsid w:val="00722987"/>
    <w:rsid w:val="00795F39"/>
    <w:rsid w:val="008002DB"/>
    <w:rsid w:val="008139A6"/>
    <w:rsid w:val="00823C6F"/>
    <w:rsid w:val="00865A2B"/>
    <w:rsid w:val="008B33F6"/>
    <w:rsid w:val="008E5FDE"/>
    <w:rsid w:val="00A02855"/>
    <w:rsid w:val="00A22AE7"/>
    <w:rsid w:val="00A366DF"/>
    <w:rsid w:val="00A87480"/>
    <w:rsid w:val="00AA4ECD"/>
    <w:rsid w:val="00B11F00"/>
    <w:rsid w:val="00B7311C"/>
    <w:rsid w:val="00B84359"/>
    <w:rsid w:val="00BA5010"/>
    <w:rsid w:val="00BB31A7"/>
    <w:rsid w:val="00C35266"/>
    <w:rsid w:val="00C6673D"/>
    <w:rsid w:val="00C70A18"/>
    <w:rsid w:val="00CC5D67"/>
    <w:rsid w:val="00CC7174"/>
    <w:rsid w:val="00CE54B3"/>
    <w:rsid w:val="00D80394"/>
    <w:rsid w:val="00D9182E"/>
    <w:rsid w:val="00DA05A9"/>
    <w:rsid w:val="00DA080D"/>
    <w:rsid w:val="00DB32B7"/>
    <w:rsid w:val="00DF36D8"/>
    <w:rsid w:val="00E207DE"/>
    <w:rsid w:val="00E50354"/>
    <w:rsid w:val="00E74D47"/>
    <w:rsid w:val="00EB16FB"/>
    <w:rsid w:val="00EF7B03"/>
    <w:rsid w:val="00F36C12"/>
    <w:rsid w:val="00F47F83"/>
    <w:rsid w:val="00F574CF"/>
    <w:rsid w:val="00F70741"/>
    <w:rsid w:val="00F73474"/>
    <w:rsid w:val="00F94E4E"/>
    <w:rsid w:val="00FB71D1"/>
    <w:rsid w:val="00FD0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5E9EA7-AE99-4A5E-AEC4-13868B9E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190"/>
  </w:style>
  <w:style w:type="paragraph" w:styleId="Heading1">
    <w:name w:val="heading 1"/>
    <w:basedOn w:val="Normal"/>
    <w:next w:val="Normal"/>
    <w:link w:val="Heading1Char"/>
    <w:qFormat/>
    <w:rsid w:val="00F7074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link w:val="Heading4Char"/>
    <w:unhideWhenUsed/>
    <w:qFormat/>
    <w:rsid w:val="00F70741"/>
    <w:pPr>
      <w:keepNext/>
      <w:spacing w:before="240" w:after="60" w:line="240" w:lineRule="auto"/>
      <w:outlineLvl w:val="3"/>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741"/>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rsid w:val="00F70741"/>
    <w:rPr>
      <w:rFonts w:eastAsiaTheme="minorEastAsia"/>
      <w:b/>
      <w:bCs/>
      <w:sz w:val="28"/>
      <w:szCs w:val="28"/>
    </w:rPr>
  </w:style>
  <w:style w:type="paragraph" w:styleId="NormalWeb">
    <w:name w:val="Normal (Web)"/>
    <w:basedOn w:val="Normal"/>
    <w:uiPriority w:val="99"/>
    <w:unhideWhenUsed/>
    <w:rsid w:val="00F707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1">
    <w:name w:val="Body 1"/>
    <w:rsid w:val="00F70741"/>
    <w:pPr>
      <w:outlineLvl w:val="0"/>
    </w:pPr>
    <w:rPr>
      <w:rFonts w:ascii="Helvetica" w:eastAsia="Arial Unicode MS" w:hAnsi="Helvetica" w:cs="Times New Roman"/>
      <w:color w:val="000000"/>
      <w:szCs w:val="20"/>
      <w:u w:color="000000"/>
      <w:lang w:eastAsia="en-GB"/>
    </w:rPr>
  </w:style>
  <w:style w:type="character" w:styleId="CommentReference">
    <w:name w:val="annotation reference"/>
    <w:basedOn w:val="DefaultParagraphFont"/>
    <w:uiPriority w:val="99"/>
    <w:semiHidden/>
    <w:unhideWhenUsed/>
    <w:rsid w:val="00C70A18"/>
    <w:rPr>
      <w:sz w:val="16"/>
      <w:szCs w:val="16"/>
    </w:rPr>
  </w:style>
  <w:style w:type="paragraph" w:styleId="CommentText">
    <w:name w:val="annotation text"/>
    <w:basedOn w:val="Normal"/>
    <w:link w:val="CommentTextChar"/>
    <w:uiPriority w:val="99"/>
    <w:semiHidden/>
    <w:unhideWhenUsed/>
    <w:rsid w:val="00C70A18"/>
    <w:pPr>
      <w:spacing w:line="240" w:lineRule="auto"/>
    </w:pPr>
    <w:rPr>
      <w:sz w:val="20"/>
      <w:szCs w:val="20"/>
    </w:rPr>
  </w:style>
  <w:style w:type="character" w:customStyle="1" w:styleId="CommentTextChar">
    <w:name w:val="Comment Text Char"/>
    <w:basedOn w:val="DefaultParagraphFont"/>
    <w:link w:val="CommentText"/>
    <w:uiPriority w:val="99"/>
    <w:semiHidden/>
    <w:rsid w:val="00C70A18"/>
    <w:rPr>
      <w:sz w:val="20"/>
      <w:szCs w:val="20"/>
    </w:rPr>
  </w:style>
  <w:style w:type="paragraph" w:styleId="CommentSubject">
    <w:name w:val="annotation subject"/>
    <w:basedOn w:val="CommentText"/>
    <w:next w:val="CommentText"/>
    <w:link w:val="CommentSubjectChar"/>
    <w:uiPriority w:val="99"/>
    <w:semiHidden/>
    <w:unhideWhenUsed/>
    <w:rsid w:val="00C70A18"/>
    <w:rPr>
      <w:b/>
      <w:bCs/>
    </w:rPr>
  </w:style>
  <w:style w:type="character" w:customStyle="1" w:styleId="CommentSubjectChar">
    <w:name w:val="Comment Subject Char"/>
    <w:basedOn w:val="CommentTextChar"/>
    <w:link w:val="CommentSubject"/>
    <w:uiPriority w:val="99"/>
    <w:semiHidden/>
    <w:rsid w:val="00C70A18"/>
    <w:rPr>
      <w:b/>
      <w:bCs/>
      <w:sz w:val="20"/>
      <w:szCs w:val="20"/>
    </w:rPr>
  </w:style>
  <w:style w:type="paragraph" w:styleId="BalloonText">
    <w:name w:val="Balloon Text"/>
    <w:basedOn w:val="Normal"/>
    <w:link w:val="BalloonTextChar"/>
    <w:uiPriority w:val="99"/>
    <w:semiHidden/>
    <w:unhideWhenUsed/>
    <w:rsid w:val="00C70A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A18"/>
    <w:rPr>
      <w:rFonts w:ascii="Segoe UI" w:hAnsi="Segoe UI" w:cs="Segoe UI"/>
      <w:sz w:val="18"/>
      <w:szCs w:val="18"/>
    </w:rPr>
  </w:style>
  <w:style w:type="paragraph" w:styleId="Revision">
    <w:name w:val="Revision"/>
    <w:hidden/>
    <w:uiPriority w:val="99"/>
    <w:semiHidden/>
    <w:rsid w:val="00B11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934606">
      <w:bodyDiv w:val="1"/>
      <w:marLeft w:val="0"/>
      <w:marRight w:val="0"/>
      <w:marTop w:val="0"/>
      <w:marBottom w:val="0"/>
      <w:divBdr>
        <w:top w:val="none" w:sz="0" w:space="0" w:color="auto"/>
        <w:left w:val="none" w:sz="0" w:space="0" w:color="auto"/>
        <w:bottom w:val="none" w:sz="0" w:space="0" w:color="auto"/>
        <w:right w:val="none" w:sz="0" w:space="0" w:color="auto"/>
      </w:divBdr>
      <w:divsChild>
        <w:div w:id="926112812">
          <w:marLeft w:val="0"/>
          <w:marRight w:val="0"/>
          <w:marTop w:val="0"/>
          <w:marBottom w:val="0"/>
          <w:divBdr>
            <w:top w:val="none" w:sz="0" w:space="0" w:color="auto"/>
            <w:left w:val="none" w:sz="0" w:space="0" w:color="auto"/>
            <w:bottom w:val="none" w:sz="0" w:space="0" w:color="auto"/>
            <w:right w:val="none" w:sz="0" w:space="0" w:color="auto"/>
          </w:divBdr>
        </w:div>
        <w:div w:id="645667236">
          <w:marLeft w:val="0"/>
          <w:marRight w:val="0"/>
          <w:marTop w:val="0"/>
          <w:marBottom w:val="0"/>
          <w:divBdr>
            <w:top w:val="none" w:sz="0" w:space="0" w:color="auto"/>
            <w:left w:val="none" w:sz="0" w:space="0" w:color="auto"/>
            <w:bottom w:val="none" w:sz="0" w:space="0" w:color="auto"/>
            <w:right w:val="none" w:sz="0" w:space="0" w:color="auto"/>
          </w:divBdr>
        </w:div>
        <w:div w:id="829297052">
          <w:marLeft w:val="0"/>
          <w:marRight w:val="0"/>
          <w:marTop w:val="0"/>
          <w:marBottom w:val="0"/>
          <w:divBdr>
            <w:top w:val="none" w:sz="0" w:space="0" w:color="auto"/>
            <w:left w:val="none" w:sz="0" w:space="0" w:color="auto"/>
            <w:bottom w:val="none" w:sz="0" w:space="0" w:color="auto"/>
            <w:right w:val="none" w:sz="0" w:space="0" w:color="auto"/>
          </w:divBdr>
        </w:div>
        <w:div w:id="264000758">
          <w:marLeft w:val="0"/>
          <w:marRight w:val="0"/>
          <w:marTop w:val="0"/>
          <w:marBottom w:val="0"/>
          <w:divBdr>
            <w:top w:val="none" w:sz="0" w:space="0" w:color="auto"/>
            <w:left w:val="none" w:sz="0" w:space="0" w:color="auto"/>
            <w:bottom w:val="none" w:sz="0" w:space="0" w:color="auto"/>
            <w:right w:val="none" w:sz="0" w:space="0" w:color="auto"/>
          </w:divBdr>
        </w:div>
        <w:div w:id="1915235964">
          <w:marLeft w:val="0"/>
          <w:marRight w:val="0"/>
          <w:marTop w:val="0"/>
          <w:marBottom w:val="0"/>
          <w:divBdr>
            <w:top w:val="none" w:sz="0" w:space="0" w:color="auto"/>
            <w:left w:val="none" w:sz="0" w:space="0" w:color="auto"/>
            <w:bottom w:val="none" w:sz="0" w:space="0" w:color="auto"/>
            <w:right w:val="none" w:sz="0" w:space="0" w:color="auto"/>
          </w:divBdr>
        </w:div>
        <w:div w:id="1550265808">
          <w:marLeft w:val="0"/>
          <w:marRight w:val="0"/>
          <w:marTop w:val="0"/>
          <w:marBottom w:val="0"/>
          <w:divBdr>
            <w:top w:val="none" w:sz="0" w:space="0" w:color="auto"/>
            <w:left w:val="none" w:sz="0" w:space="0" w:color="auto"/>
            <w:bottom w:val="none" w:sz="0" w:space="0" w:color="auto"/>
            <w:right w:val="none" w:sz="0" w:space="0" w:color="auto"/>
          </w:divBdr>
        </w:div>
        <w:div w:id="236478905">
          <w:marLeft w:val="0"/>
          <w:marRight w:val="0"/>
          <w:marTop w:val="0"/>
          <w:marBottom w:val="0"/>
          <w:divBdr>
            <w:top w:val="none" w:sz="0" w:space="0" w:color="auto"/>
            <w:left w:val="none" w:sz="0" w:space="0" w:color="auto"/>
            <w:bottom w:val="none" w:sz="0" w:space="0" w:color="auto"/>
            <w:right w:val="none" w:sz="0" w:space="0" w:color="auto"/>
          </w:divBdr>
        </w:div>
        <w:div w:id="208541083">
          <w:marLeft w:val="0"/>
          <w:marRight w:val="0"/>
          <w:marTop w:val="0"/>
          <w:marBottom w:val="0"/>
          <w:divBdr>
            <w:top w:val="none" w:sz="0" w:space="0" w:color="auto"/>
            <w:left w:val="none" w:sz="0" w:space="0" w:color="auto"/>
            <w:bottom w:val="none" w:sz="0" w:space="0" w:color="auto"/>
            <w:right w:val="none" w:sz="0" w:space="0" w:color="auto"/>
          </w:divBdr>
        </w:div>
        <w:div w:id="1591037505">
          <w:marLeft w:val="0"/>
          <w:marRight w:val="0"/>
          <w:marTop w:val="0"/>
          <w:marBottom w:val="0"/>
          <w:divBdr>
            <w:top w:val="none" w:sz="0" w:space="0" w:color="auto"/>
            <w:left w:val="none" w:sz="0" w:space="0" w:color="auto"/>
            <w:bottom w:val="none" w:sz="0" w:space="0" w:color="auto"/>
            <w:right w:val="none" w:sz="0" w:space="0" w:color="auto"/>
          </w:divBdr>
        </w:div>
        <w:div w:id="1111626848">
          <w:marLeft w:val="0"/>
          <w:marRight w:val="0"/>
          <w:marTop w:val="0"/>
          <w:marBottom w:val="0"/>
          <w:divBdr>
            <w:top w:val="none" w:sz="0" w:space="0" w:color="auto"/>
            <w:left w:val="none" w:sz="0" w:space="0" w:color="auto"/>
            <w:bottom w:val="none" w:sz="0" w:space="0" w:color="auto"/>
            <w:right w:val="none" w:sz="0" w:space="0" w:color="auto"/>
          </w:divBdr>
        </w:div>
        <w:div w:id="649099701">
          <w:marLeft w:val="0"/>
          <w:marRight w:val="0"/>
          <w:marTop w:val="0"/>
          <w:marBottom w:val="0"/>
          <w:divBdr>
            <w:top w:val="none" w:sz="0" w:space="0" w:color="auto"/>
            <w:left w:val="none" w:sz="0" w:space="0" w:color="auto"/>
            <w:bottom w:val="none" w:sz="0" w:space="0" w:color="auto"/>
            <w:right w:val="none" w:sz="0" w:space="0" w:color="auto"/>
          </w:divBdr>
        </w:div>
        <w:div w:id="825361754">
          <w:marLeft w:val="0"/>
          <w:marRight w:val="0"/>
          <w:marTop w:val="0"/>
          <w:marBottom w:val="0"/>
          <w:divBdr>
            <w:top w:val="none" w:sz="0" w:space="0" w:color="auto"/>
            <w:left w:val="none" w:sz="0" w:space="0" w:color="auto"/>
            <w:bottom w:val="none" w:sz="0" w:space="0" w:color="auto"/>
            <w:right w:val="none" w:sz="0" w:space="0" w:color="auto"/>
          </w:divBdr>
        </w:div>
        <w:div w:id="1601529030">
          <w:marLeft w:val="0"/>
          <w:marRight w:val="0"/>
          <w:marTop w:val="0"/>
          <w:marBottom w:val="0"/>
          <w:divBdr>
            <w:top w:val="none" w:sz="0" w:space="0" w:color="auto"/>
            <w:left w:val="none" w:sz="0" w:space="0" w:color="auto"/>
            <w:bottom w:val="none" w:sz="0" w:space="0" w:color="auto"/>
            <w:right w:val="none" w:sz="0" w:space="0" w:color="auto"/>
          </w:divBdr>
        </w:div>
        <w:div w:id="681394420">
          <w:marLeft w:val="0"/>
          <w:marRight w:val="0"/>
          <w:marTop w:val="0"/>
          <w:marBottom w:val="0"/>
          <w:divBdr>
            <w:top w:val="none" w:sz="0" w:space="0" w:color="auto"/>
            <w:left w:val="none" w:sz="0" w:space="0" w:color="auto"/>
            <w:bottom w:val="none" w:sz="0" w:space="0" w:color="auto"/>
            <w:right w:val="none" w:sz="0" w:space="0" w:color="auto"/>
          </w:divBdr>
        </w:div>
        <w:div w:id="1636446236">
          <w:marLeft w:val="0"/>
          <w:marRight w:val="0"/>
          <w:marTop w:val="0"/>
          <w:marBottom w:val="0"/>
          <w:divBdr>
            <w:top w:val="none" w:sz="0" w:space="0" w:color="auto"/>
            <w:left w:val="none" w:sz="0" w:space="0" w:color="auto"/>
            <w:bottom w:val="none" w:sz="0" w:space="0" w:color="auto"/>
            <w:right w:val="none" w:sz="0" w:space="0" w:color="auto"/>
          </w:divBdr>
        </w:div>
        <w:div w:id="1164469210">
          <w:marLeft w:val="0"/>
          <w:marRight w:val="0"/>
          <w:marTop w:val="0"/>
          <w:marBottom w:val="0"/>
          <w:divBdr>
            <w:top w:val="none" w:sz="0" w:space="0" w:color="auto"/>
            <w:left w:val="none" w:sz="0" w:space="0" w:color="auto"/>
            <w:bottom w:val="none" w:sz="0" w:space="0" w:color="auto"/>
            <w:right w:val="none" w:sz="0" w:space="0" w:color="auto"/>
          </w:divBdr>
        </w:div>
        <w:div w:id="1347370410">
          <w:marLeft w:val="0"/>
          <w:marRight w:val="0"/>
          <w:marTop w:val="0"/>
          <w:marBottom w:val="0"/>
          <w:divBdr>
            <w:top w:val="none" w:sz="0" w:space="0" w:color="auto"/>
            <w:left w:val="none" w:sz="0" w:space="0" w:color="auto"/>
            <w:bottom w:val="none" w:sz="0" w:space="0" w:color="auto"/>
            <w:right w:val="none" w:sz="0" w:space="0" w:color="auto"/>
          </w:divBdr>
        </w:div>
        <w:div w:id="1156072041">
          <w:marLeft w:val="0"/>
          <w:marRight w:val="0"/>
          <w:marTop w:val="0"/>
          <w:marBottom w:val="0"/>
          <w:divBdr>
            <w:top w:val="none" w:sz="0" w:space="0" w:color="auto"/>
            <w:left w:val="none" w:sz="0" w:space="0" w:color="auto"/>
            <w:bottom w:val="none" w:sz="0" w:space="0" w:color="auto"/>
            <w:right w:val="none" w:sz="0" w:space="0" w:color="auto"/>
          </w:divBdr>
        </w:div>
        <w:div w:id="1514226835">
          <w:marLeft w:val="0"/>
          <w:marRight w:val="0"/>
          <w:marTop w:val="0"/>
          <w:marBottom w:val="0"/>
          <w:divBdr>
            <w:top w:val="none" w:sz="0" w:space="0" w:color="auto"/>
            <w:left w:val="none" w:sz="0" w:space="0" w:color="auto"/>
            <w:bottom w:val="none" w:sz="0" w:space="0" w:color="auto"/>
            <w:right w:val="none" w:sz="0" w:space="0" w:color="auto"/>
          </w:divBdr>
        </w:div>
        <w:div w:id="1482117698">
          <w:marLeft w:val="0"/>
          <w:marRight w:val="0"/>
          <w:marTop w:val="0"/>
          <w:marBottom w:val="0"/>
          <w:divBdr>
            <w:top w:val="none" w:sz="0" w:space="0" w:color="auto"/>
            <w:left w:val="none" w:sz="0" w:space="0" w:color="auto"/>
            <w:bottom w:val="none" w:sz="0" w:space="0" w:color="auto"/>
            <w:right w:val="none" w:sz="0" w:space="0" w:color="auto"/>
          </w:divBdr>
        </w:div>
        <w:div w:id="1174032049">
          <w:marLeft w:val="0"/>
          <w:marRight w:val="0"/>
          <w:marTop w:val="0"/>
          <w:marBottom w:val="0"/>
          <w:divBdr>
            <w:top w:val="none" w:sz="0" w:space="0" w:color="auto"/>
            <w:left w:val="none" w:sz="0" w:space="0" w:color="auto"/>
            <w:bottom w:val="none" w:sz="0" w:space="0" w:color="auto"/>
            <w:right w:val="none" w:sz="0" w:space="0" w:color="auto"/>
          </w:divBdr>
        </w:div>
        <w:div w:id="1853489542">
          <w:marLeft w:val="0"/>
          <w:marRight w:val="0"/>
          <w:marTop w:val="0"/>
          <w:marBottom w:val="0"/>
          <w:divBdr>
            <w:top w:val="none" w:sz="0" w:space="0" w:color="auto"/>
            <w:left w:val="none" w:sz="0" w:space="0" w:color="auto"/>
            <w:bottom w:val="none" w:sz="0" w:space="0" w:color="auto"/>
            <w:right w:val="none" w:sz="0" w:space="0" w:color="auto"/>
          </w:divBdr>
        </w:div>
        <w:div w:id="1809323364">
          <w:marLeft w:val="0"/>
          <w:marRight w:val="0"/>
          <w:marTop w:val="0"/>
          <w:marBottom w:val="0"/>
          <w:divBdr>
            <w:top w:val="none" w:sz="0" w:space="0" w:color="auto"/>
            <w:left w:val="none" w:sz="0" w:space="0" w:color="auto"/>
            <w:bottom w:val="none" w:sz="0" w:space="0" w:color="auto"/>
            <w:right w:val="none" w:sz="0" w:space="0" w:color="auto"/>
          </w:divBdr>
        </w:div>
        <w:div w:id="642656552">
          <w:marLeft w:val="0"/>
          <w:marRight w:val="0"/>
          <w:marTop w:val="0"/>
          <w:marBottom w:val="0"/>
          <w:divBdr>
            <w:top w:val="none" w:sz="0" w:space="0" w:color="auto"/>
            <w:left w:val="none" w:sz="0" w:space="0" w:color="auto"/>
            <w:bottom w:val="none" w:sz="0" w:space="0" w:color="auto"/>
            <w:right w:val="none" w:sz="0" w:space="0" w:color="auto"/>
          </w:divBdr>
        </w:div>
        <w:div w:id="30109030">
          <w:marLeft w:val="0"/>
          <w:marRight w:val="0"/>
          <w:marTop w:val="0"/>
          <w:marBottom w:val="0"/>
          <w:divBdr>
            <w:top w:val="none" w:sz="0" w:space="0" w:color="auto"/>
            <w:left w:val="none" w:sz="0" w:space="0" w:color="auto"/>
            <w:bottom w:val="none" w:sz="0" w:space="0" w:color="auto"/>
            <w:right w:val="none" w:sz="0" w:space="0" w:color="auto"/>
          </w:divBdr>
        </w:div>
        <w:div w:id="56168566">
          <w:marLeft w:val="0"/>
          <w:marRight w:val="0"/>
          <w:marTop w:val="0"/>
          <w:marBottom w:val="0"/>
          <w:divBdr>
            <w:top w:val="none" w:sz="0" w:space="0" w:color="auto"/>
            <w:left w:val="none" w:sz="0" w:space="0" w:color="auto"/>
            <w:bottom w:val="none" w:sz="0" w:space="0" w:color="auto"/>
            <w:right w:val="none" w:sz="0" w:space="0" w:color="auto"/>
          </w:divBdr>
        </w:div>
        <w:div w:id="240989428">
          <w:marLeft w:val="0"/>
          <w:marRight w:val="0"/>
          <w:marTop w:val="0"/>
          <w:marBottom w:val="0"/>
          <w:divBdr>
            <w:top w:val="none" w:sz="0" w:space="0" w:color="auto"/>
            <w:left w:val="none" w:sz="0" w:space="0" w:color="auto"/>
            <w:bottom w:val="none" w:sz="0" w:space="0" w:color="auto"/>
            <w:right w:val="none" w:sz="0" w:space="0" w:color="auto"/>
          </w:divBdr>
        </w:div>
        <w:div w:id="2138378757">
          <w:marLeft w:val="0"/>
          <w:marRight w:val="0"/>
          <w:marTop w:val="0"/>
          <w:marBottom w:val="0"/>
          <w:divBdr>
            <w:top w:val="none" w:sz="0" w:space="0" w:color="auto"/>
            <w:left w:val="none" w:sz="0" w:space="0" w:color="auto"/>
            <w:bottom w:val="none" w:sz="0" w:space="0" w:color="auto"/>
            <w:right w:val="none" w:sz="0" w:space="0" w:color="auto"/>
          </w:divBdr>
        </w:div>
        <w:div w:id="1421410795">
          <w:marLeft w:val="0"/>
          <w:marRight w:val="0"/>
          <w:marTop w:val="0"/>
          <w:marBottom w:val="0"/>
          <w:divBdr>
            <w:top w:val="none" w:sz="0" w:space="0" w:color="auto"/>
            <w:left w:val="none" w:sz="0" w:space="0" w:color="auto"/>
            <w:bottom w:val="none" w:sz="0" w:space="0" w:color="auto"/>
            <w:right w:val="none" w:sz="0" w:space="0" w:color="auto"/>
          </w:divBdr>
        </w:div>
        <w:div w:id="169569384">
          <w:marLeft w:val="0"/>
          <w:marRight w:val="0"/>
          <w:marTop w:val="0"/>
          <w:marBottom w:val="0"/>
          <w:divBdr>
            <w:top w:val="none" w:sz="0" w:space="0" w:color="auto"/>
            <w:left w:val="none" w:sz="0" w:space="0" w:color="auto"/>
            <w:bottom w:val="none" w:sz="0" w:space="0" w:color="auto"/>
            <w:right w:val="none" w:sz="0" w:space="0" w:color="auto"/>
          </w:divBdr>
        </w:div>
        <w:div w:id="1791628976">
          <w:marLeft w:val="0"/>
          <w:marRight w:val="0"/>
          <w:marTop w:val="0"/>
          <w:marBottom w:val="0"/>
          <w:divBdr>
            <w:top w:val="none" w:sz="0" w:space="0" w:color="auto"/>
            <w:left w:val="none" w:sz="0" w:space="0" w:color="auto"/>
            <w:bottom w:val="none" w:sz="0" w:space="0" w:color="auto"/>
            <w:right w:val="none" w:sz="0" w:space="0" w:color="auto"/>
          </w:divBdr>
        </w:div>
        <w:div w:id="1691027004">
          <w:marLeft w:val="0"/>
          <w:marRight w:val="0"/>
          <w:marTop w:val="0"/>
          <w:marBottom w:val="0"/>
          <w:divBdr>
            <w:top w:val="none" w:sz="0" w:space="0" w:color="auto"/>
            <w:left w:val="none" w:sz="0" w:space="0" w:color="auto"/>
            <w:bottom w:val="none" w:sz="0" w:space="0" w:color="auto"/>
            <w:right w:val="none" w:sz="0" w:space="0" w:color="auto"/>
          </w:divBdr>
        </w:div>
        <w:div w:id="1062680550">
          <w:marLeft w:val="0"/>
          <w:marRight w:val="0"/>
          <w:marTop w:val="0"/>
          <w:marBottom w:val="0"/>
          <w:divBdr>
            <w:top w:val="none" w:sz="0" w:space="0" w:color="auto"/>
            <w:left w:val="none" w:sz="0" w:space="0" w:color="auto"/>
            <w:bottom w:val="none" w:sz="0" w:space="0" w:color="auto"/>
            <w:right w:val="none" w:sz="0" w:space="0" w:color="auto"/>
          </w:divBdr>
        </w:div>
        <w:div w:id="424738896">
          <w:marLeft w:val="0"/>
          <w:marRight w:val="0"/>
          <w:marTop w:val="0"/>
          <w:marBottom w:val="0"/>
          <w:divBdr>
            <w:top w:val="none" w:sz="0" w:space="0" w:color="auto"/>
            <w:left w:val="none" w:sz="0" w:space="0" w:color="auto"/>
            <w:bottom w:val="none" w:sz="0" w:space="0" w:color="auto"/>
            <w:right w:val="none" w:sz="0" w:space="0" w:color="auto"/>
          </w:divBdr>
        </w:div>
        <w:div w:id="2109039891">
          <w:marLeft w:val="0"/>
          <w:marRight w:val="0"/>
          <w:marTop w:val="0"/>
          <w:marBottom w:val="0"/>
          <w:divBdr>
            <w:top w:val="none" w:sz="0" w:space="0" w:color="auto"/>
            <w:left w:val="none" w:sz="0" w:space="0" w:color="auto"/>
            <w:bottom w:val="none" w:sz="0" w:space="0" w:color="auto"/>
            <w:right w:val="none" w:sz="0" w:space="0" w:color="auto"/>
          </w:divBdr>
        </w:div>
        <w:div w:id="880362769">
          <w:marLeft w:val="0"/>
          <w:marRight w:val="0"/>
          <w:marTop w:val="0"/>
          <w:marBottom w:val="0"/>
          <w:divBdr>
            <w:top w:val="none" w:sz="0" w:space="0" w:color="auto"/>
            <w:left w:val="none" w:sz="0" w:space="0" w:color="auto"/>
            <w:bottom w:val="none" w:sz="0" w:space="0" w:color="auto"/>
            <w:right w:val="none" w:sz="0" w:space="0" w:color="auto"/>
          </w:divBdr>
        </w:div>
        <w:div w:id="1175724862">
          <w:marLeft w:val="0"/>
          <w:marRight w:val="0"/>
          <w:marTop w:val="0"/>
          <w:marBottom w:val="0"/>
          <w:divBdr>
            <w:top w:val="none" w:sz="0" w:space="0" w:color="auto"/>
            <w:left w:val="none" w:sz="0" w:space="0" w:color="auto"/>
            <w:bottom w:val="none" w:sz="0" w:space="0" w:color="auto"/>
            <w:right w:val="none" w:sz="0" w:space="0" w:color="auto"/>
          </w:divBdr>
        </w:div>
        <w:div w:id="171840051">
          <w:marLeft w:val="0"/>
          <w:marRight w:val="0"/>
          <w:marTop w:val="0"/>
          <w:marBottom w:val="0"/>
          <w:divBdr>
            <w:top w:val="none" w:sz="0" w:space="0" w:color="auto"/>
            <w:left w:val="none" w:sz="0" w:space="0" w:color="auto"/>
            <w:bottom w:val="none" w:sz="0" w:space="0" w:color="auto"/>
            <w:right w:val="none" w:sz="0" w:space="0" w:color="auto"/>
          </w:divBdr>
        </w:div>
        <w:div w:id="900362178">
          <w:marLeft w:val="0"/>
          <w:marRight w:val="0"/>
          <w:marTop w:val="0"/>
          <w:marBottom w:val="0"/>
          <w:divBdr>
            <w:top w:val="none" w:sz="0" w:space="0" w:color="auto"/>
            <w:left w:val="none" w:sz="0" w:space="0" w:color="auto"/>
            <w:bottom w:val="none" w:sz="0" w:space="0" w:color="auto"/>
            <w:right w:val="none" w:sz="0" w:space="0" w:color="auto"/>
          </w:divBdr>
        </w:div>
        <w:div w:id="375351173">
          <w:marLeft w:val="0"/>
          <w:marRight w:val="0"/>
          <w:marTop w:val="0"/>
          <w:marBottom w:val="0"/>
          <w:divBdr>
            <w:top w:val="none" w:sz="0" w:space="0" w:color="auto"/>
            <w:left w:val="none" w:sz="0" w:space="0" w:color="auto"/>
            <w:bottom w:val="none" w:sz="0" w:space="0" w:color="auto"/>
            <w:right w:val="none" w:sz="0" w:space="0" w:color="auto"/>
          </w:divBdr>
        </w:div>
        <w:div w:id="312805682">
          <w:marLeft w:val="0"/>
          <w:marRight w:val="0"/>
          <w:marTop w:val="0"/>
          <w:marBottom w:val="0"/>
          <w:divBdr>
            <w:top w:val="none" w:sz="0" w:space="0" w:color="auto"/>
            <w:left w:val="none" w:sz="0" w:space="0" w:color="auto"/>
            <w:bottom w:val="none" w:sz="0" w:space="0" w:color="auto"/>
            <w:right w:val="none" w:sz="0" w:space="0" w:color="auto"/>
          </w:divBdr>
        </w:div>
        <w:div w:id="1194150554">
          <w:marLeft w:val="0"/>
          <w:marRight w:val="0"/>
          <w:marTop w:val="0"/>
          <w:marBottom w:val="0"/>
          <w:divBdr>
            <w:top w:val="none" w:sz="0" w:space="0" w:color="auto"/>
            <w:left w:val="none" w:sz="0" w:space="0" w:color="auto"/>
            <w:bottom w:val="none" w:sz="0" w:space="0" w:color="auto"/>
            <w:right w:val="none" w:sz="0" w:space="0" w:color="auto"/>
          </w:divBdr>
        </w:div>
        <w:div w:id="567955828">
          <w:marLeft w:val="0"/>
          <w:marRight w:val="0"/>
          <w:marTop w:val="0"/>
          <w:marBottom w:val="0"/>
          <w:divBdr>
            <w:top w:val="none" w:sz="0" w:space="0" w:color="auto"/>
            <w:left w:val="none" w:sz="0" w:space="0" w:color="auto"/>
            <w:bottom w:val="none" w:sz="0" w:space="0" w:color="auto"/>
            <w:right w:val="none" w:sz="0" w:space="0" w:color="auto"/>
          </w:divBdr>
        </w:div>
        <w:div w:id="1574927857">
          <w:marLeft w:val="0"/>
          <w:marRight w:val="0"/>
          <w:marTop w:val="0"/>
          <w:marBottom w:val="0"/>
          <w:divBdr>
            <w:top w:val="none" w:sz="0" w:space="0" w:color="auto"/>
            <w:left w:val="none" w:sz="0" w:space="0" w:color="auto"/>
            <w:bottom w:val="none" w:sz="0" w:space="0" w:color="auto"/>
            <w:right w:val="none" w:sz="0" w:space="0" w:color="auto"/>
          </w:divBdr>
        </w:div>
        <w:div w:id="832717056">
          <w:marLeft w:val="0"/>
          <w:marRight w:val="0"/>
          <w:marTop w:val="0"/>
          <w:marBottom w:val="0"/>
          <w:divBdr>
            <w:top w:val="none" w:sz="0" w:space="0" w:color="auto"/>
            <w:left w:val="none" w:sz="0" w:space="0" w:color="auto"/>
            <w:bottom w:val="none" w:sz="0" w:space="0" w:color="auto"/>
            <w:right w:val="none" w:sz="0" w:space="0" w:color="auto"/>
          </w:divBdr>
        </w:div>
        <w:div w:id="1061902360">
          <w:marLeft w:val="0"/>
          <w:marRight w:val="0"/>
          <w:marTop w:val="0"/>
          <w:marBottom w:val="0"/>
          <w:divBdr>
            <w:top w:val="none" w:sz="0" w:space="0" w:color="auto"/>
            <w:left w:val="none" w:sz="0" w:space="0" w:color="auto"/>
            <w:bottom w:val="none" w:sz="0" w:space="0" w:color="auto"/>
            <w:right w:val="none" w:sz="0" w:space="0" w:color="auto"/>
          </w:divBdr>
        </w:div>
        <w:div w:id="700202072">
          <w:marLeft w:val="0"/>
          <w:marRight w:val="0"/>
          <w:marTop w:val="0"/>
          <w:marBottom w:val="0"/>
          <w:divBdr>
            <w:top w:val="none" w:sz="0" w:space="0" w:color="auto"/>
            <w:left w:val="none" w:sz="0" w:space="0" w:color="auto"/>
            <w:bottom w:val="none" w:sz="0" w:space="0" w:color="auto"/>
            <w:right w:val="none" w:sz="0" w:space="0" w:color="auto"/>
          </w:divBdr>
        </w:div>
        <w:div w:id="71978105">
          <w:marLeft w:val="0"/>
          <w:marRight w:val="0"/>
          <w:marTop w:val="0"/>
          <w:marBottom w:val="0"/>
          <w:divBdr>
            <w:top w:val="none" w:sz="0" w:space="0" w:color="auto"/>
            <w:left w:val="none" w:sz="0" w:space="0" w:color="auto"/>
            <w:bottom w:val="none" w:sz="0" w:space="0" w:color="auto"/>
            <w:right w:val="none" w:sz="0" w:space="0" w:color="auto"/>
          </w:divBdr>
        </w:div>
        <w:div w:id="1590769335">
          <w:marLeft w:val="0"/>
          <w:marRight w:val="0"/>
          <w:marTop w:val="0"/>
          <w:marBottom w:val="0"/>
          <w:divBdr>
            <w:top w:val="none" w:sz="0" w:space="0" w:color="auto"/>
            <w:left w:val="none" w:sz="0" w:space="0" w:color="auto"/>
            <w:bottom w:val="none" w:sz="0" w:space="0" w:color="auto"/>
            <w:right w:val="none" w:sz="0" w:space="0" w:color="auto"/>
          </w:divBdr>
        </w:div>
        <w:div w:id="838736808">
          <w:marLeft w:val="0"/>
          <w:marRight w:val="0"/>
          <w:marTop w:val="0"/>
          <w:marBottom w:val="0"/>
          <w:divBdr>
            <w:top w:val="none" w:sz="0" w:space="0" w:color="auto"/>
            <w:left w:val="none" w:sz="0" w:space="0" w:color="auto"/>
            <w:bottom w:val="none" w:sz="0" w:space="0" w:color="auto"/>
            <w:right w:val="none" w:sz="0" w:space="0" w:color="auto"/>
          </w:divBdr>
        </w:div>
        <w:div w:id="209146995">
          <w:marLeft w:val="0"/>
          <w:marRight w:val="0"/>
          <w:marTop w:val="0"/>
          <w:marBottom w:val="0"/>
          <w:divBdr>
            <w:top w:val="none" w:sz="0" w:space="0" w:color="auto"/>
            <w:left w:val="none" w:sz="0" w:space="0" w:color="auto"/>
            <w:bottom w:val="none" w:sz="0" w:space="0" w:color="auto"/>
            <w:right w:val="none" w:sz="0" w:space="0" w:color="auto"/>
          </w:divBdr>
        </w:div>
        <w:div w:id="1443767016">
          <w:marLeft w:val="0"/>
          <w:marRight w:val="0"/>
          <w:marTop w:val="0"/>
          <w:marBottom w:val="0"/>
          <w:divBdr>
            <w:top w:val="none" w:sz="0" w:space="0" w:color="auto"/>
            <w:left w:val="none" w:sz="0" w:space="0" w:color="auto"/>
            <w:bottom w:val="none" w:sz="0" w:space="0" w:color="auto"/>
            <w:right w:val="none" w:sz="0" w:space="0" w:color="auto"/>
          </w:divBdr>
        </w:div>
        <w:div w:id="775179844">
          <w:marLeft w:val="0"/>
          <w:marRight w:val="0"/>
          <w:marTop w:val="0"/>
          <w:marBottom w:val="0"/>
          <w:divBdr>
            <w:top w:val="none" w:sz="0" w:space="0" w:color="auto"/>
            <w:left w:val="none" w:sz="0" w:space="0" w:color="auto"/>
            <w:bottom w:val="none" w:sz="0" w:space="0" w:color="auto"/>
            <w:right w:val="none" w:sz="0" w:space="0" w:color="auto"/>
          </w:divBdr>
        </w:div>
        <w:div w:id="942373874">
          <w:marLeft w:val="0"/>
          <w:marRight w:val="0"/>
          <w:marTop w:val="0"/>
          <w:marBottom w:val="0"/>
          <w:divBdr>
            <w:top w:val="none" w:sz="0" w:space="0" w:color="auto"/>
            <w:left w:val="none" w:sz="0" w:space="0" w:color="auto"/>
            <w:bottom w:val="none" w:sz="0" w:space="0" w:color="auto"/>
            <w:right w:val="none" w:sz="0" w:space="0" w:color="auto"/>
          </w:divBdr>
        </w:div>
        <w:div w:id="51072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 Sian Tay</dc:creator>
  <cp:lastModifiedBy>Hui Sian Tay</cp:lastModifiedBy>
  <cp:revision>2</cp:revision>
  <dcterms:created xsi:type="dcterms:W3CDTF">2017-01-19T12:13:00Z</dcterms:created>
  <dcterms:modified xsi:type="dcterms:W3CDTF">2017-01-19T12:13:00Z</dcterms:modified>
</cp:coreProperties>
</file>